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48"/>
          <w:szCs w:val="48"/>
          <w:highlight w:val="white"/>
        </w:rPr>
      </w:pP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Název akce, datum a místo konání</w:t>
      </w:r>
    </w:p>
    <w:p w:rsidR="00000000" w:rsidDel="00000000" w:rsidP="00000000" w:rsidRDefault="00000000" w:rsidRPr="00000000" w14:paraId="00000003">
      <w:pPr>
        <w:spacing w:after="100" w:line="240" w:lineRule="auto"/>
        <w:ind w:left="0" w:firstLine="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TYTO INFORMACE Z PREZENČNÍ LISTINY VYMAŽTE:</w:t>
      </w:r>
    </w:p>
    <w:p w:rsidR="00000000" w:rsidDel="00000000" w:rsidP="00000000" w:rsidRDefault="00000000" w:rsidRPr="00000000" w14:paraId="00000004">
      <w:pPr>
        <w:spacing w:after="100" w:line="240" w:lineRule="auto"/>
        <w:ind w:left="0" w:firstLine="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P</w:t>
      </w: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rezenční listina je jedním ze zdrojů ověření, že proběhla aktivita, kterou naplňujete výstupy/výsledky projektu. Můžete využít buď tento vzor nebo prezenční listiny, které ve vaší organizaci běžně používáte -  v tom případě mějte na paměti, že prezenční listiny musí být v souladu s pravidly publicity (viz umístění log programu dle </w:t>
      </w:r>
      <w:hyperlink r:id="rId6">
        <w:r w:rsidDel="00000000" w:rsidR="00000000" w:rsidRPr="00000000">
          <w:rPr>
            <w:i w:val="1"/>
            <w:sz w:val="18"/>
            <w:szCs w:val="18"/>
            <w:u w:val="single"/>
            <w:shd w:fill="efefef" w:val="clear"/>
            <w:rtl w:val="0"/>
          </w:rPr>
          <w:t xml:space="preserve">Grafického manuálu</w:t>
        </w:r>
      </w:hyperlink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pacing w:after="100" w:line="240" w:lineRule="auto"/>
        <w:ind w:left="0" w:firstLine="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Prezenční listina také může posloužit jako zdroj některých informací pro vykazování povinných kategorií ve zdrojích ověření dle vašeho plánu dopadů (pohlaví, etnická příslušnost: romská/jiná, věk: mladí lidé (15-29), dospělí (30+)), které vykazujete v monitorovací zprávě o realizaci projektu. Kromě těchto povinných kategorií můžete sbírat i jiné údaje o účastnících akcí v souladu s potřebami vaší organizace.  </w:t>
      </w:r>
    </w:p>
    <w:p w:rsidR="00000000" w:rsidDel="00000000" w:rsidP="00000000" w:rsidRDefault="00000000" w:rsidRPr="00000000" w14:paraId="00000006">
      <w:pPr>
        <w:spacing w:after="100" w:line="240" w:lineRule="auto"/>
        <w:ind w:left="0" w:firstLine="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Prezenční listina poslouží jako dostatečný podklad pro sběr dat o pohlaví účastníků (nemusí být zvláštní kolonka na prezenční listině, pro jednodušší administraci ji však doporučujeme uvést v případě většího množství účastníků).  Pro zjištění informací o věku účastníků doporučujeme na listinu umístit dva sloupce s kategoriemi 15 - 29 a 30+, jelikož se nejedná o citlivé údaje. Tyto údaje však mohou být sbírány také prostřednictvím kvalifikovaného odhadu či jiným způsobem. Údaje o etnické příslušnosti (romská/jiná) jsou citlivými údaji, které doporučujeme sbírat formou kvalifikovaného odhadu či jiné dobré praxe vaší organizace. </w:t>
      </w:r>
    </w:p>
    <w:p w:rsidR="00000000" w:rsidDel="00000000" w:rsidP="00000000" w:rsidRDefault="00000000" w:rsidRPr="00000000" w14:paraId="00000007">
      <w:pPr>
        <w:spacing w:after="100" w:line="240" w:lineRule="auto"/>
        <w:ind w:left="0" w:firstLine="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i w:val="1"/>
          <w:sz w:val="18"/>
          <w:szCs w:val="18"/>
          <w:shd w:fill="efefef" w:val="clear"/>
          <w:rtl w:val="0"/>
        </w:rPr>
        <w:t xml:space="preserve">Pokud nebudete povinné údaje o kategoriích ve zdrojích ověření sbírat skrze prezenční listiny, je třeba na začátku realizace projektu zvolit jiný nástroj, kterým údaje získáte (např. online dotazníky apod.).</w:t>
      </w:r>
    </w:p>
    <w:p w:rsidR="00000000" w:rsidDel="00000000" w:rsidP="00000000" w:rsidRDefault="00000000" w:rsidRPr="00000000" w14:paraId="00000008">
      <w:pPr>
        <w:spacing w:line="240" w:lineRule="auto"/>
        <w:ind w:left="0" w:firstLine="720"/>
        <w:jc w:val="both"/>
        <w:rPr>
          <w:i w:val="1"/>
          <w:sz w:val="18"/>
          <w:szCs w:val="18"/>
          <w:shd w:fill="efefef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00"/>
        <w:gridCol w:w="735"/>
        <w:gridCol w:w="735"/>
        <w:gridCol w:w="810"/>
        <w:gridCol w:w="615"/>
        <w:gridCol w:w="2625"/>
        <w:tblGridChange w:id="0">
          <w:tblGrid>
            <w:gridCol w:w="4500"/>
            <w:gridCol w:w="735"/>
            <w:gridCol w:w="735"/>
            <w:gridCol w:w="810"/>
            <w:gridCol w:w="615"/>
            <w:gridCol w:w="2625"/>
          </w:tblGrid>
        </w:tblGridChange>
      </w:tblGrid>
      <w:tr>
        <w:trPr>
          <w:trHeight w:val="420" w:hRule="atLeast"/>
        </w:trPr>
        <w:tc>
          <w:tcPr>
            <w:vMerge w:val="restart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Jméno účastníka</w:t>
            </w:r>
          </w:p>
        </w:tc>
        <w:tc>
          <w:tcPr>
            <w:gridSpan w:val="2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Pohlaví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Věk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vMerge w:val="restart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Podpis</w:t>
            </w:r>
          </w:p>
        </w:tc>
      </w:tr>
      <w:tr>
        <w:trPr>
          <w:trHeight w:val="330" w:hRule="atLeast"/>
        </w:trPr>
        <w:tc>
          <w:tcPr>
            <w:vMerge w:val="continue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Žena</w:t>
            </w:r>
          </w:p>
        </w:tc>
        <w:tc>
          <w:tcPr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Muž</w:t>
            </w:r>
          </w:p>
        </w:tc>
        <w:tc>
          <w:tcPr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15 - 29</w:t>
            </w:r>
          </w:p>
        </w:tc>
        <w:tc>
          <w:tcPr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30+</w:t>
            </w:r>
          </w:p>
        </w:tc>
        <w:tc>
          <w:tcPr>
            <w:vMerge w:val="continue"/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správnou variantu označte X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275.5905511811022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041550" cy="685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155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left"/>
      <w:rPr>
        <w:color w:val="999999"/>
        <w:sz w:val="36"/>
        <w:szCs w:val="36"/>
      </w:rPr>
    </w:pPr>
    <w:r w:rsidDel="00000000" w:rsidR="00000000" w:rsidRPr="00000000">
      <w:rPr>
        <w:color w:val="999999"/>
        <w:sz w:val="36"/>
        <w:szCs w:val="36"/>
        <w:rtl w:val="0"/>
      </w:rPr>
      <w:t xml:space="preserve">Vaše logo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mgwdata.net/norwayfunds/prod/uploads/2020/04/090_OSF_manua%CC%81l_final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